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D707" w14:textId="77777777" w:rsidR="000C4524" w:rsidRPr="00042B7F" w:rsidRDefault="000C4524" w:rsidP="000C4524">
      <w:pPr>
        <w:rPr>
          <w:rFonts w:ascii="Arial" w:hAnsi="Arial" w:cs="Arial"/>
          <w:sz w:val="22"/>
          <w:szCs w:val="22"/>
          <w:u w:val="single"/>
        </w:rPr>
      </w:pPr>
      <w:r w:rsidRPr="00042B7F">
        <w:rPr>
          <w:rFonts w:ascii="Arial" w:hAnsi="Arial" w:cs="Arial"/>
          <w:sz w:val="22"/>
          <w:szCs w:val="22"/>
          <w:u w:val="single"/>
        </w:rPr>
        <w:t>UZASADNIENIE</w:t>
      </w:r>
    </w:p>
    <w:p w14:paraId="3300D314" w14:textId="23D6FABA" w:rsidR="000C4524" w:rsidRPr="00042B7F" w:rsidRDefault="000C4524" w:rsidP="000C452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 xml:space="preserve">Niniejszą uchwałę podejmuje się na podstawie </w:t>
      </w:r>
      <w:r w:rsidR="005A3E7A" w:rsidRPr="00860F8D">
        <w:rPr>
          <w:rFonts w:ascii="Arial" w:hAnsi="Arial" w:cs="Arial"/>
          <w:color w:val="000000"/>
          <w:sz w:val="22"/>
          <w:szCs w:val="22"/>
        </w:rPr>
        <w:t xml:space="preserve">art. 18 ust. 2 pkt. 5 ustawy z dnia 8 marca 1990 r. o samorządzie gminnym (j.t. Dz. U. z </w:t>
      </w:r>
      <w:r w:rsidR="00F36741" w:rsidRPr="002A0981">
        <w:rPr>
          <w:rFonts w:ascii="Arial" w:hAnsi="Arial" w:cs="Arial"/>
          <w:color w:val="000000"/>
          <w:sz w:val="22"/>
          <w:szCs w:val="22"/>
        </w:rPr>
        <w:t>202</w:t>
      </w:r>
      <w:r w:rsidR="00F36741">
        <w:rPr>
          <w:rFonts w:ascii="Arial" w:hAnsi="Arial" w:cs="Arial"/>
          <w:color w:val="000000"/>
          <w:sz w:val="22"/>
          <w:szCs w:val="22"/>
        </w:rPr>
        <w:t>2</w:t>
      </w:r>
      <w:r w:rsidR="00F36741" w:rsidRPr="002A098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F36741">
        <w:rPr>
          <w:rFonts w:ascii="Arial" w:hAnsi="Arial" w:cs="Arial"/>
          <w:color w:val="000000"/>
          <w:sz w:val="22"/>
          <w:szCs w:val="22"/>
        </w:rPr>
        <w:t>559</w:t>
      </w:r>
      <w:r w:rsidR="005A3E7A" w:rsidRPr="00860F8D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5A3E7A" w:rsidRPr="00860F8D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A3E7A" w:rsidRPr="00860F8D">
        <w:rPr>
          <w:rFonts w:ascii="Arial" w:hAnsi="Arial" w:cs="Arial"/>
          <w:color w:val="000000"/>
          <w:sz w:val="22"/>
          <w:szCs w:val="22"/>
        </w:rPr>
        <w:t xml:space="preserve">. zm.) oraz art. 12 ust. 1 ustawy z dnia 27 marca 2003 r. o planowaniu i zagospodarowaniu przestrzennym (j.t. Dz. U. z </w:t>
      </w:r>
      <w:bookmarkStart w:id="0" w:name="_Hlk100170931"/>
      <w:r w:rsidR="00F36741">
        <w:rPr>
          <w:rFonts w:ascii="Arial" w:hAnsi="Arial" w:cs="Arial"/>
          <w:color w:val="000000"/>
          <w:sz w:val="22"/>
          <w:szCs w:val="22"/>
        </w:rPr>
        <w:t>2022 r. poz. 503</w:t>
      </w:r>
      <w:bookmarkEnd w:id="0"/>
      <w:r w:rsidR="005A3E7A" w:rsidRPr="00860F8D">
        <w:rPr>
          <w:rFonts w:ascii="Arial" w:hAnsi="Arial" w:cs="Arial"/>
          <w:color w:val="000000"/>
          <w:sz w:val="22"/>
          <w:szCs w:val="22"/>
        </w:rPr>
        <w:t>)</w:t>
      </w:r>
      <w:r w:rsidRPr="00E83242">
        <w:rPr>
          <w:rFonts w:ascii="Arial" w:hAnsi="Arial" w:cs="Arial"/>
          <w:sz w:val="22"/>
          <w:szCs w:val="22"/>
        </w:rPr>
        <w:t>.</w:t>
      </w:r>
    </w:p>
    <w:p w14:paraId="41AE6E32" w14:textId="77777777" w:rsidR="000C4524" w:rsidRPr="00042B7F" w:rsidRDefault="000C4524" w:rsidP="000C4524">
      <w:pPr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>Na obszar</w:t>
      </w:r>
      <w:r w:rsidR="002806F4">
        <w:rPr>
          <w:rFonts w:ascii="Arial" w:hAnsi="Arial" w:cs="Arial"/>
          <w:sz w:val="22"/>
          <w:szCs w:val="22"/>
        </w:rPr>
        <w:t>ach</w:t>
      </w:r>
      <w:r w:rsidRPr="00042B7F">
        <w:rPr>
          <w:rFonts w:ascii="Arial" w:hAnsi="Arial" w:cs="Arial"/>
          <w:sz w:val="22"/>
          <w:szCs w:val="22"/>
        </w:rPr>
        <w:t xml:space="preserve"> objęty</w:t>
      </w:r>
      <w:r w:rsidR="002806F4">
        <w:rPr>
          <w:rFonts w:ascii="Arial" w:hAnsi="Arial" w:cs="Arial"/>
          <w:sz w:val="22"/>
          <w:szCs w:val="22"/>
        </w:rPr>
        <w:t>ch</w:t>
      </w:r>
      <w:r w:rsidRPr="00042B7F">
        <w:rPr>
          <w:rFonts w:ascii="Arial" w:hAnsi="Arial" w:cs="Arial"/>
          <w:sz w:val="22"/>
          <w:szCs w:val="22"/>
        </w:rPr>
        <w:t xml:space="preserve"> opracowaniem gmina </w:t>
      </w:r>
      <w:r w:rsidR="00BA4F37">
        <w:rPr>
          <w:rFonts w:ascii="Arial" w:hAnsi="Arial" w:cs="Arial"/>
          <w:sz w:val="22"/>
          <w:szCs w:val="22"/>
        </w:rPr>
        <w:t>Dzierzgoń</w:t>
      </w:r>
      <w:r w:rsidRPr="00042B7F">
        <w:rPr>
          <w:rFonts w:ascii="Arial" w:hAnsi="Arial" w:cs="Arial"/>
          <w:sz w:val="22"/>
          <w:szCs w:val="22"/>
        </w:rPr>
        <w:t xml:space="preserve"> posiada </w:t>
      </w:r>
      <w:bookmarkStart w:id="1" w:name="_Hlk98574218"/>
      <w:r w:rsidRPr="00042B7F">
        <w:rPr>
          <w:rFonts w:ascii="Arial" w:hAnsi="Arial" w:cs="Arial"/>
          <w:sz w:val="22"/>
          <w:szCs w:val="22"/>
        </w:rPr>
        <w:t>studium uwarunkowań i kierunków zagospodarowania przestrzennego gminy</w:t>
      </w:r>
      <w:bookmarkEnd w:id="1"/>
      <w:r w:rsidRPr="00042B7F">
        <w:rPr>
          <w:rFonts w:ascii="Arial" w:hAnsi="Arial" w:cs="Arial"/>
          <w:sz w:val="22"/>
          <w:szCs w:val="22"/>
        </w:rPr>
        <w:t xml:space="preserve">. Jednakże </w:t>
      </w:r>
      <w:r w:rsidR="005A3E7A">
        <w:rPr>
          <w:rFonts w:ascii="Arial" w:hAnsi="Arial" w:cs="Arial"/>
          <w:sz w:val="22"/>
          <w:szCs w:val="22"/>
        </w:rPr>
        <w:t>w</w:t>
      </w:r>
      <w:r w:rsidR="005A3E7A" w:rsidRPr="00860F8D">
        <w:rPr>
          <w:rFonts w:ascii="Arial" w:hAnsi="Arial" w:cs="Arial"/>
          <w:color w:val="000000"/>
          <w:sz w:val="22"/>
          <w:szCs w:val="22"/>
        </w:rPr>
        <w:t xml:space="preserve"> obrębach 1-Dzierzgoń (dz. nr 802, 806/1 i 806/2), Morany (dz. nr 29/1 i 31 oraz fragment dz. nr 30), Nowiec (dz. nr 35, 151/5, 151/6 i 151/7 oraz fragment dz. nr 34/1), Ankamaty (dz. nr 125) </w:t>
      </w:r>
      <w:r w:rsidR="005A3E7A" w:rsidRPr="00042B7F">
        <w:rPr>
          <w:rFonts w:ascii="Arial" w:hAnsi="Arial" w:cs="Arial"/>
          <w:sz w:val="22"/>
          <w:szCs w:val="22"/>
        </w:rPr>
        <w:t xml:space="preserve">nie przewidywano </w:t>
      </w:r>
      <w:r w:rsidR="005A3E7A">
        <w:rPr>
          <w:rFonts w:ascii="Arial" w:hAnsi="Arial" w:cs="Arial"/>
          <w:sz w:val="22"/>
          <w:szCs w:val="22"/>
        </w:rPr>
        <w:t xml:space="preserve">przeznaczenia </w:t>
      </w:r>
      <w:r w:rsidR="005A3E7A" w:rsidRPr="00BA4F37">
        <w:rPr>
          <w:rFonts w:ascii="Arial" w:hAnsi="Arial" w:cs="Arial"/>
          <w:sz w:val="22"/>
          <w:szCs w:val="22"/>
        </w:rPr>
        <w:t xml:space="preserve">pod </w:t>
      </w:r>
      <w:r w:rsidR="005A3E7A" w:rsidRPr="00860F8D">
        <w:rPr>
          <w:rFonts w:ascii="Arial" w:hAnsi="Arial" w:cs="Arial"/>
          <w:color w:val="000000"/>
          <w:sz w:val="22"/>
          <w:szCs w:val="22"/>
        </w:rPr>
        <w:t>obszary powierzchniowej eksploatacji kruszyw</w:t>
      </w:r>
      <w:r w:rsidR="005A3E7A">
        <w:rPr>
          <w:rFonts w:ascii="Arial" w:hAnsi="Arial" w:cs="Arial"/>
          <w:color w:val="000000"/>
          <w:sz w:val="22"/>
          <w:szCs w:val="22"/>
        </w:rPr>
        <w:t>. W</w:t>
      </w:r>
      <w:r w:rsidR="00BA4F37" w:rsidRPr="00BA4F37">
        <w:rPr>
          <w:rFonts w:ascii="Arial" w:hAnsi="Arial" w:cs="Arial"/>
          <w:sz w:val="22"/>
          <w:szCs w:val="22"/>
        </w:rPr>
        <w:t xml:space="preserve"> obrębie </w:t>
      </w:r>
      <w:r w:rsidR="005A3E7A" w:rsidRPr="00860F8D">
        <w:rPr>
          <w:rFonts w:ascii="Arial" w:hAnsi="Arial" w:cs="Arial"/>
          <w:color w:val="000000"/>
          <w:sz w:val="22"/>
          <w:szCs w:val="22"/>
        </w:rPr>
        <w:t xml:space="preserve">Blunaki (dz. nr 28/6) </w:t>
      </w:r>
      <w:r w:rsidRPr="00042B7F">
        <w:rPr>
          <w:rFonts w:ascii="Arial" w:hAnsi="Arial" w:cs="Arial"/>
          <w:sz w:val="22"/>
          <w:szCs w:val="22"/>
        </w:rPr>
        <w:t xml:space="preserve">nie przewidywano </w:t>
      </w:r>
      <w:r w:rsidR="00597F0C">
        <w:rPr>
          <w:rFonts w:ascii="Arial" w:hAnsi="Arial" w:cs="Arial"/>
          <w:sz w:val="22"/>
          <w:szCs w:val="22"/>
        </w:rPr>
        <w:t xml:space="preserve">przeznaczenia </w:t>
      </w:r>
      <w:r w:rsidR="002806F4">
        <w:rPr>
          <w:rFonts w:ascii="Arial" w:hAnsi="Arial" w:cs="Arial"/>
          <w:sz w:val="22"/>
          <w:szCs w:val="22"/>
        </w:rPr>
        <w:t>pod</w:t>
      </w:r>
      <w:r w:rsidR="00E83242" w:rsidRPr="00BD4353">
        <w:rPr>
          <w:rFonts w:ascii="Arial" w:hAnsi="Arial" w:cs="Arial"/>
          <w:sz w:val="22"/>
          <w:szCs w:val="22"/>
        </w:rPr>
        <w:t xml:space="preserve"> </w:t>
      </w:r>
      <w:r w:rsidR="005A3E7A" w:rsidRPr="00860F8D">
        <w:rPr>
          <w:rFonts w:ascii="Arial" w:hAnsi="Arial" w:cs="Arial"/>
          <w:color w:val="000000"/>
          <w:sz w:val="22"/>
          <w:szCs w:val="22"/>
        </w:rPr>
        <w:t>teren rozwoju publicznej zabudowy usługowej lub socjalnej zabudowy mieszkaniowej</w:t>
      </w:r>
      <w:r w:rsidR="005A3E7A">
        <w:rPr>
          <w:rFonts w:ascii="Arial" w:hAnsi="Arial" w:cs="Arial"/>
          <w:color w:val="000000"/>
          <w:sz w:val="22"/>
          <w:szCs w:val="22"/>
        </w:rPr>
        <w:t>, a</w:t>
      </w:r>
      <w:r w:rsidR="002806F4">
        <w:rPr>
          <w:rFonts w:ascii="Arial" w:hAnsi="Arial" w:cs="Arial"/>
          <w:sz w:val="22"/>
          <w:szCs w:val="22"/>
        </w:rPr>
        <w:t xml:space="preserve"> </w:t>
      </w:r>
      <w:r w:rsidR="005A3E7A" w:rsidRPr="00860F8D">
        <w:rPr>
          <w:rFonts w:ascii="Arial" w:hAnsi="Arial" w:cs="Arial"/>
          <w:color w:val="000000"/>
          <w:sz w:val="22"/>
          <w:szCs w:val="22"/>
        </w:rPr>
        <w:t xml:space="preserve">w obrębie Morany (dz. nr 227) </w:t>
      </w:r>
      <w:r w:rsidR="005A3E7A" w:rsidRPr="00042B7F">
        <w:rPr>
          <w:rFonts w:ascii="Arial" w:hAnsi="Arial" w:cs="Arial"/>
          <w:sz w:val="22"/>
          <w:szCs w:val="22"/>
        </w:rPr>
        <w:t xml:space="preserve">nie przewidywano </w:t>
      </w:r>
      <w:r w:rsidR="005A3E7A">
        <w:rPr>
          <w:rFonts w:ascii="Arial" w:hAnsi="Arial" w:cs="Arial"/>
          <w:sz w:val="22"/>
          <w:szCs w:val="22"/>
        </w:rPr>
        <w:t xml:space="preserve">przeznaczenia </w:t>
      </w:r>
      <w:r w:rsidR="005A3E7A" w:rsidRPr="00860F8D">
        <w:rPr>
          <w:rFonts w:ascii="Arial" w:hAnsi="Arial" w:cs="Arial"/>
          <w:color w:val="000000"/>
          <w:sz w:val="22"/>
          <w:szCs w:val="22"/>
        </w:rPr>
        <w:t xml:space="preserve">pod teren </w:t>
      </w:r>
      <w:proofErr w:type="spellStart"/>
      <w:r w:rsidR="005A3E7A" w:rsidRPr="00860F8D">
        <w:rPr>
          <w:rFonts w:ascii="Arial" w:hAnsi="Arial" w:cs="Arial"/>
          <w:color w:val="000000"/>
          <w:sz w:val="22"/>
          <w:szCs w:val="22"/>
        </w:rPr>
        <w:t>subregionalnej</w:t>
      </w:r>
      <w:proofErr w:type="spellEnd"/>
      <w:r w:rsidR="005A3E7A" w:rsidRPr="00860F8D">
        <w:rPr>
          <w:rFonts w:ascii="Arial" w:hAnsi="Arial" w:cs="Arial"/>
          <w:color w:val="000000"/>
          <w:sz w:val="22"/>
          <w:szCs w:val="22"/>
        </w:rPr>
        <w:t xml:space="preserve"> trasy rowerowej</w:t>
      </w:r>
      <w:r w:rsidR="002806F4">
        <w:rPr>
          <w:rFonts w:ascii="Arial" w:hAnsi="Arial" w:cs="Arial"/>
          <w:sz w:val="22"/>
          <w:szCs w:val="22"/>
        </w:rPr>
        <w:t>.</w:t>
      </w:r>
      <w:r w:rsidRPr="00042B7F">
        <w:rPr>
          <w:rFonts w:ascii="Arial" w:hAnsi="Arial" w:cs="Arial"/>
          <w:sz w:val="22"/>
          <w:szCs w:val="22"/>
        </w:rPr>
        <w:t xml:space="preserve"> Konieczne było zatem sporządzenie zmiany studium.</w:t>
      </w:r>
    </w:p>
    <w:p w14:paraId="5BC65C63" w14:textId="77777777" w:rsidR="002806F4" w:rsidRDefault="000C4524" w:rsidP="000C4524">
      <w:pPr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 xml:space="preserve">Opracowanie </w:t>
      </w:r>
      <w:r w:rsidRPr="00C341F5">
        <w:rPr>
          <w:rFonts w:ascii="Arial" w:hAnsi="Arial" w:cs="Arial"/>
          <w:sz w:val="22"/>
          <w:szCs w:val="22"/>
        </w:rPr>
        <w:t xml:space="preserve">zmiany studium uwarunkowań i kierunków zagospodarowania przestrzennego </w:t>
      </w:r>
      <w:r w:rsidR="004801BA" w:rsidRPr="00640544">
        <w:rPr>
          <w:rFonts w:ascii="Arial" w:hAnsi="Arial" w:cs="Arial"/>
          <w:color w:val="000000"/>
          <w:sz w:val="22"/>
          <w:szCs w:val="22"/>
        </w:rPr>
        <w:t xml:space="preserve">miasta i gminy Dzierzgoń </w:t>
      </w:r>
      <w:r w:rsidRPr="00042B7F">
        <w:rPr>
          <w:rFonts w:ascii="Arial" w:hAnsi="Arial" w:cs="Arial"/>
          <w:sz w:val="22"/>
          <w:szCs w:val="22"/>
        </w:rPr>
        <w:t>podjęto na podstawie Uchwał</w:t>
      </w:r>
      <w:r w:rsidR="005A3E7A">
        <w:rPr>
          <w:rFonts w:ascii="Arial" w:hAnsi="Arial" w:cs="Arial"/>
          <w:sz w:val="22"/>
          <w:szCs w:val="22"/>
        </w:rPr>
        <w:t>y</w:t>
      </w:r>
      <w:r w:rsidRPr="00042B7F">
        <w:rPr>
          <w:rFonts w:ascii="Arial" w:hAnsi="Arial" w:cs="Arial"/>
          <w:sz w:val="22"/>
          <w:szCs w:val="22"/>
        </w:rPr>
        <w:t xml:space="preserve"> </w:t>
      </w:r>
      <w:r w:rsidR="00BA4F37" w:rsidRPr="00640544">
        <w:rPr>
          <w:rFonts w:ascii="Arial" w:hAnsi="Arial" w:cs="Arial"/>
          <w:color w:val="000000"/>
          <w:sz w:val="22"/>
          <w:szCs w:val="22"/>
        </w:rPr>
        <w:t xml:space="preserve">Rady Miejskiej w Dzierzgoniu Nr </w:t>
      </w:r>
      <w:r w:rsidR="005A3E7A" w:rsidRPr="00860F8D">
        <w:rPr>
          <w:rFonts w:ascii="Arial" w:hAnsi="Arial" w:cs="Arial"/>
          <w:color w:val="000000"/>
          <w:sz w:val="22"/>
          <w:szCs w:val="22"/>
        </w:rPr>
        <w:t>XXIII/358/2021 z dnia 30 grudnia 2021 r</w:t>
      </w:r>
      <w:r w:rsidR="00BA4F37" w:rsidRPr="0064054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3D33534" w14:textId="77777777" w:rsidR="005A3E7A" w:rsidRPr="00860F8D" w:rsidRDefault="005A3E7A" w:rsidP="005A3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" w:line="244" w:lineRule="exact"/>
        <w:ind w:right="111"/>
        <w:jc w:val="both"/>
        <w:rPr>
          <w:rFonts w:ascii="Arial" w:hAnsi="Arial" w:cs="Arial"/>
          <w:color w:val="000000"/>
          <w:sz w:val="22"/>
          <w:szCs w:val="22"/>
        </w:rPr>
      </w:pPr>
      <w:r w:rsidRPr="00860F8D">
        <w:rPr>
          <w:rFonts w:ascii="Arial" w:hAnsi="Arial" w:cs="Arial"/>
          <w:color w:val="000000"/>
          <w:sz w:val="22"/>
          <w:szCs w:val="22"/>
        </w:rPr>
        <w:t xml:space="preserve">Przedmiotem zmiany studium jest: </w:t>
      </w:r>
    </w:p>
    <w:p w14:paraId="38ACF3AB" w14:textId="77777777" w:rsidR="005A3E7A" w:rsidRPr="00860F8D" w:rsidRDefault="005A3E7A" w:rsidP="005A3E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line="244" w:lineRule="exact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60F8D">
        <w:rPr>
          <w:rFonts w:ascii="Arial" w:hAnsi="Arial" w:cs="Arial"/>
          <w:color w:val="000000"/>
          <w:sz w:val="22"/>
          <w:szCs w:val="22"/>
        </w:rPr>
        <w:t>przeznaczenie terenów w obrębach 1-Dzierzgoń (dz. nr 802, 806/1 i 806/2), Morany (dz. nr 29/1 i 31 oraz fragment dz. nr 30), Nowiec (dz. nr 35, 151/5, 151/6 i 151/7 oraz fragment dz. nr 34/1), Ankamaty (dz. nr 125) pod obszary powierzchniowej eksploatacji kruszyw, oznaczone na załącznikach nr 1, 2, 3, 8 i 9 do uchwały:</w:t>
      </w:r>
    </w:p>
    <w:p w14:paraId="5E0CB08D" w14:textId="77777777" w:rsidR="005A3E7A" w:rsidRPr="00860F8D" w:rsidRDefault="005A3E7A" w:rsidP="005A3E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line="244" w:lineRule="exact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60F8D">
        <w:rPr>
          <w:rFonts w:ascii="Arial" w:hAnsi="Arial" w:cs="Arial"/>
          <w:color w:val="000000"/>
          <w:sz w:val="22"/>
          <w:szCs w:val="22"/>
        </w:rPr>
        <w:t>przeznaczenie terenu w obrębie Blunaki (dz. nr 28/6) pod teren rozwoju publicznej zabudowy usługowej lub socjalnej zabudowy mieszkaniowej, oznaczony na załącznikach nr 4 i 9 do uchwały;</w:t>
      </w:r>
    </w:p>
    <w:p w14:paraId="27DDEB5D" w14:textId="77777777" w:rsidR="005A3E7A" w:rsidRPr="00860F8D" w:rsidRDefault="005A3E7A" w:rsidP="005A3E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line="244" w:lineRule="exact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60F8D">
        <w:rPr>
          <w:rFonts w:ascii="Arial" w:hAnsi="Arial" w:cs="Arial"/>
          <w:color w:val="000000"/>
          <w:sz w:val="22"/>
          <w:szCs w:val="22"/>
        </w:rPr>
        <w:t xml:space="preserve">przeznaczenie terenu w obrębie Morany (dz. nr 227) pod teren </w:t>
      </w:r>
      <w:proofErr w:type="spellStart"/>
      <w:r w:rsidRPr="00860F8D">
        <w:rPr>
          <w:rFonts w:ascii="Arial" w:hAnsi="Arial" w:cs="Arial"/>
          <w:color w:val="000000"/>
          <w:sz w:val="22"/>
          <w:szCs w:val="22"/>
        </w:rPr>
        <w:t>subregionalnej</w:t>
      </w:r>
      <w:proofErr w:type="spellEnd"/>
      <w:r w:rsidRPr="00860F8D">
        <w:rPr>
          <w:rFonts w:ascii="Arial" w:hAnsi="Arial" w:cs="Arial"/>
          <w:color w:val="000000"/>
          <w:sz w:val="22"/>
          <w:szCs w:val="22"/>
        </w:rPr>
        <w:t xml:space="preserve"> trasy rowerowej, oznaczony na załącznikach nr 5 i 9 do uchwały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79B15F9" w14:textId="77777777" w:rsidR="000C4524" w:rsidRPr="005A3E7A" w:rsidRDefault="000C4524" w:rsidP="000C4524">
      <w:pPr>
        <w:pStyle w:val="Tekstpodstawowy"/>
        <w:rPr>
          <w:color w:val="000000" w:themeColor="text1"/>
        </w:rPr>
      </w:pPr>
      <w:r w:rsidRPr="00042B7F">
        <w:t>Zmiana studium zawiera ustalenia wynikające z art. 10 ustawy o planowaniu i zagospodarowaniu przestrzennym i został sporządzony z uwzględnieniem sta</w:t>
      </w:r>
      <w:r w:rsidRPr="005A3E7A">
        <w:rPr>
          <w:color w:val="000000" w:themeColor="text1"/>
        </w:rPr>
        <w:t xml:space="preserve">ndardów w zakresie zakresu tekstu studium i rysunku, ustanowionych Rozporządzeniem Ministra </w:t>
      </w:r>
      <w:r w:rsidR="005A3E7A" w:rsidRPr="005A3E7A">
        <w:rPr>
          <w:color w:val="000000" w:themeColor="text1"/>
        </w:rPr>
        <w:t>Rozwoju i Technologii</w:t>
      </w:r>
      <w:r w:rsidRPr="005A3E7A">
        <w:rPr>
          <w:color w:val="000000" w:themeColor="text1"/>
        </w:rPr>
        <w:t xml:space="preserve"> z dn. 2</w:t>
      </w:r>
      <w:r w:rsidR="005A3E7A" w:rsidRPr="005A3E7A">
        <w:rPr>
          <w:color w:val="000000" w:themeColor="text1"/>
        </w:rPr>
        <w:t>3</w:t>
      </w:r>
      <w:r w:rsidRPr="005A3E7A">
        <w:rPr>
          <w:color w:val="000000" w:themeColor="text1"/>
        </w:rPr>
        <w:t>.</w:t>
      </w:r>
      <w:r w:rsidR="005A3E7A" w:rsidRPr="005A3E7A">
        <w:rPr>
          <w:color w:val="000000" w:themeColor="text1"/>
        </w:rPr>
        <w:t>12</w:t>
      </w:r>
      <w:r w:rsidRPr="005A3E7A">
        <w:rPr>
          <w:color w:val="000000" w:themeColor="text1"/>
        </w:rPr>
        <w:t>.20</w:t>
      </w:r>
      <w:r w:rsidR="005A3E7A" w:rsidRPr="005A3E7A">
        <w:rPr>
          <w:color w:val="000000" w:themeColor="text1"/>
        </w:rPr>
        <w:t>21 r</w:t>
      </w:r>
      <w:r w:rsidRPr="005A3E7A">
        <w:rPr>
          <w:color w:val="000000" w:themeColor="text1"/>
        </w:rPr>
        <w:t xml:space="preserve">. w sprawie zakresu projektu studium uwarunkowań i kierunków zagospodarowania przestrzennego gminy (Dz. U. </w:t>
      </w:r>
      <w:r w:rsidR="005A3E7A" w:rsidRPr="005A3E7A">
        <w:rPr>
          <w:color w:val="000000" w:themeColor="text1"/>
        </w:rPr>
        <w:t xml:space="preserve">z 2021 r. </w:t>
      </w:r>
      <w:r w:rsidRPr="005A3E7A">
        <w:rPr>
          <w:color w:val="000000" w:themeColor="text1"/>
        </w:rPr>
        <w:t xml:space="preserve">poz. </w:t>
      </w:r>
      <w:r w:rsidR="005A3E7A" w:rsidRPr="005A3E7A">
        <w:rPr>
          <w:color w:val="000000" w:themeColor="text1"/>
        </w:rPr>
        <w:t>2405</w:t>
      </w:r>
      <w:r w:rsidRPr="005A3E7A">
        <w:rPr>
          <w:color w:val="000000" w:themeColor="text1"/>
        </w:rPr>
        <w:t>).</w:t>
      </w:r>
    </w:p>
    <w:p w14:paraId="63A693FF" w14:textId="77777777" w:rsidR="000C4524" w:rsidRPr="00042B7F" w:rsidRDefault="000C4524" w:rsidP="000C4524">
      <w:pPr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>Tryb sporządzania zmiany studium został przeprowadzony zgodnie z obowiązującą procedurą narzuconą art. 11 ustawy</w:t>
      </w:r>
      <w:r w:rsidRPr="00C341F5">
        <w:rPr>
          <w:rFonts w:ascii="Arial" w:hAnsi="Arial" w:cs="Arial"/>
          <w:sz w:val="22"/>
          <w:szCs w:val="22"/>
        </w:rPr>
        <w:t xml:space="preserve"> o planowaniu i zagospodarowaniu przestrzennym i</w:t>
      </w:r>
      <w:r w:rsidRPr="00042B7F">
        <w:rPr>
          <w:rFonts w:ascii="Arial" w:hAnsi="Arial" w:cs="Arial"/>
          <w:sz w:val="22"/>
          <w:szCs w:val="22"/>
        </w:rPr>
        <w:t xml:space="preserve"> spełnia obowiązujące w tym zakresie warunki.</w:t>
      </w:r>
    </w:p>
    <w:p w14:paraId="088893BA" w14:textId="6BE69ADD" w:rsidR="000C4524" w:rsidRPr="005A3E7A" w:rsidRDefault="000C4524" w:rsidP="000C4524">
      <w:pPr>
        <w:pStyle w:val="Tekstpodstawowy"/>
        <w:rPr>
          <w:color w:val="FF0000"/>
        </w:rPr>
      </w:pPr>
      <w:r w:rsidRPr="005A3E7A">
        <w:rPr>
          <w:color w:val="000000" w:themeColor="text1"/>
        </w:rPr>
        <w:t>Projekt rysunku zmiany studium został sporządzony na kopii mapy, o której mowa w §</w:t>
      </w:r>
      <w:r w:rsidR="005A3E7A" w:rsidRPr="005A3E7A">
        <w:rPr>
          <w:color w:val="000000" w:themeColor="text1"/>
        </w:rPr>
        <w:t>6</w:t>
      </w:r>
      <w:r w:rsidRPr="005A3E7A">
        <w:rPr>
          <w:color w:val="000000" w:themeColor="text1"/>
        </w:rPr>
        <w:t xml:space="preserve"> ust. 1 Rozporządzenia w sprawie zakresu projektu studium uwarunkowań i kierunków zagospodarowania przestrzennego gminy</w:t>
      </w:r>
      <w:r w:rsidR="007A7B14">
        <w:rPr>
          <w:color w:val="000000" w:themeColor="text1"/>
        </w:rPr>
        <w:t xml:space="preserve"> i stanowi odpowiednio załączniki od nr 1 do nr 5 </w:t>
      </w:r>
      <w:r w:rsidR="007A7B14" w:rsidRPr="00C341F5">
        <w:t>niniejszej uchwały</w:t>
      </w:r>
      <w:r w:rsidR="007A7B14">
        <w:t>.</w:t>
      </w:r>
    </w:p>
    <w:p w14:paraId="7A98043C" w14:textId="77777777" w:rsidR="000C4524" w:rsidRPr="00C341F5" w:rsidRDefault="000C4524" w:rsidP="000C45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 xml:space="preserve">Projekt zmiany studium był wyłożony do publicznego wglądu </w:t>
      </w:r>
      <w:r w:rsidR="00C341F5" w:rsidRPr="00C341F5">
        <w:rPr>
          <w:rFonts w:ascii="Arial" w:hAnsi="Arial" w:cs="Arial"/>
          <w:sz w:val="22"/>
          <w:szCs w:val="22"/>
        </w:rPr>
        <w:t xml:space="preserve">w dniach </w:t>
      </w:r>
      <w:r w:rsidR="005A3E7A">
        <w:rPr>
          <w:rFonts w:ascii="Arial" w:hAnsi="Arial" w:cs="Arial"/>
          <w:color w:val="000000"/>
          <w:sz w:val="22"/>
          <w:szCs w:val="22"/>
        </w:rPr>
        <w:t>…………</w:t>
      </w:r>
      <w:r w:rsidR="00BA4F37">
        <w:rPr>
          <w:rFonts w:ascii="Arial" w:hAnsi="Arial" w:cs="Arial"/>
          <w:color w:val="000000"/>
          <w:sz w:val="22"/>
          <w:szCs w:val="22"/>
        </w:rPr>
        <w:t xml:space="preserve"> </w:t>
      </w:r>
      <w:r w:rsidR="00BA4F37" w:rsidRPr="006D7C6B">
        <w:rPr>
          <w:rFonts w:ascii="Arial" w:hAnsi="Arial" w:cs="Arial"/>
          <w:color w:val="000000"/>
          <w:sz w:val="22"/>
          <w:szCs w:val="22"/>
        </w:rPr>
        <w:t xml:space="preserve">do </w:t>
      </w:r>
      <w:r w:rsidR="005A3E7A">
        <w:rPr>
          <w:rFonts w:ascii="Arial" w:hAnsi="Arial" w:cs="Arial"/>
          <w:color w:val="000000"/>
          <w:sz w:val="22"/>
          <w:szCs w:val="22"/>
        </w:rPr>
        <w:t xml:space="preserve">………… </w:t>
      </w:r>
      <w:r w:rsidR="00BA4F37" w:rsidRPr="006D7C6B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C341F5">
        <w:rPr>
          <w:rFonts w:ascii="Arial" w:hAnsi="Arial" w:cs="Arial"/>
          <w:sz w:val="22"/>
          <w:szCs w:val="22"/>
        </w:rPr>
        <w:t xml:space="preserve">Uwagi można było składać </w:t>
      </w:r>
      <w:r w:rsidR="00C341F5" w:rsidRPr="00C341F5">
        <w:rPr>
          <w:rFonts w:ascii="Arial" w:hAnsi="Arial" w:cs="Arial"/>
          <w:sz w:val="22"/>
          <w:szCs w:val="22"/>
        </w:rPr>
        <w:t xml:space="preserve">w okresie </w:t>
      </w:r>
      <w:r w:rsidR="005A3E7A">
        <w:rPr>
          <w:rFonts w:ascii="Arial" w:hAnsi="Arial" w:cs="Arial"/>
          <w:color w:val="000000"/>
          <w:sz w:val="22"/>
          <w:szCs w:val="22"/>
        </w:rPr>
        <w:t>…………</w:t>
      </w:r>
      <w:r w:rsidR="00BA4F37" w:rsidRPr="004A104A">
        <w:rPr>
          <w:rFonts w:ascii="Arial" w:hAnsi="Arial" w:cs="Arial"/>
          <w:color w:val="000000"/>
          <w:sz w:val="22"/>
          <w:szCs w:val="22"/>
        </w:rPr>
        <w:t xml:space="preserve"> dni po zakończeniu wyłożenia (tj. do dnia </w:t>
      </w:r>
      <w:r w:rsidR="005A3E7A">
        <w:rPr>
          <w:rFonts w:ascii="Arial" w:hAnsi="Arial" w:cs="Arial"/>
          <w:color w:val="000000"/>
          <w:sz w:val="22"/>
          <w:szCs w:val="22"/>
        </w:rPr>
        <w:t>…………</w:t>
      </w:r>
      <w:r w:rsidR="00BA4F37">
        <w:rPr>
          <w:rFonts w:ascii="Arial" w:hAnsi="Arial" w:cs="Arial"/>
          <w:color w:val="000000"/>
          <w:sz w:val="22"/>
          <w:szCs w:val="22"/>
        </w:rPr>
        <w:t xml:space="preserve"> </w:t>
      </w:r>
      <w:r w:rsidR="00BA4F37" w:rsidRPr="006D7C6B">
        <w:rPr>
          <w:rFonts w:ascii="Arial" w:hAnsi="Arial" w:cs="Arial"/>
          <w:color w:val="000000"/>
          <w:sz w:val="22"/>
          <w:szCs w:val="22"/>
        </w:rPr>
        <w:t>r.</w:t>
      </w:r>
      <w:r w:rsidR="00BA4F37" w:rsidRPr="004A104A">
        <w:rPr>
          <w:rFonts w:ascii="Arial" w:hAnsi="Arial" w:cs="Arial"/>
          <w:color w:val="000000"/>
          <w:sz w:val="22"/>
          <w:szCs w:val="22"/>
        </w:rPr>
        <w:t>)</w:t>
      </w:r>
      <w:r w:rsidR="00BA4F37">
        <w:rPr>
          <w:rFonts w:ascii="Arial" w:hAnsi="Arial" w:cs="Arial"/>
          <w:color w:val="000000"/>
          <w:sz w:val="22"/>
          <w:szCs w:val="22"/>
        </w:rPr>
        <w:t>.</w:t>
      </w:r>
      <w:r w:rsidRPr="00C341F5">
        <w:rPr>
          <w:rFonts w:ascii="Arial" w:hAnsi="Arial" w:cs="Arial"/>
          <w:sz w:val="22"/>
          <w:szCs w:val="22"/>
        </w:rPr>
        <w:t xml:space="preserve"> Do projektu zmiany studium</w:t>
      </w:r>
      <w:r w:rsidR="00001422">
        <w:rPr>
          <w:rFonts w:ascii="Arial" w:hAnsi="Arial" w:cs="Arial"/>
          <w:sz w:val="22"/>
          <w:szCs w:val="22"/>
        </w:rPr>
        <w:t xml:space="preserve"> </w:t>
      </w:r>
      <w:r w:rsidRPr="00C341F5">
        <w:rPr>
          <w:rFonts w:ascii="Arial" w:hAnsi="Arial" w:cs="Arial"/>
          <w:sz w:val="22"/>
          <w:szCs w:val="22"/>
        </w:rPr>
        <w:t>nie wniesiono uwag</w:t>
      </w:r>
      <w:r w:rsidR="005A3E7A">
        <w:rPr>
          <w:rFonts w:ascii="Arial" w:hAnsi="Arial" w:cs="Arial"/>
          <w:sz w:val="22"/>
          <w:szCs w:val="22"/>
        </w:rPr>
        <w:t>/ wniesiono uwagi</w:t>
      </w:r>
      <w:r w:rsidRPr="00C341F5">
        <w:rPr>
          <w:rFonts w:ascii="Arial" w:hAnsi="Arial" w:cs="Arial"/>
          <w:sz w:val="22"/>
          <w:szCs w:val="22"/>
        </w:rPr>
        <w:t xml:space="preserve"> w wyznaczonym terminie, a załącznik nr </w:t>
      </w:r>
      <w:r w:rsidR="005A3E7A">
        <w:rPr>
          <w:rFonts w:ascii="Arial" w:hAnsi="Arial" w:cs="Arial"/>
          <w:sz w:val="22"/>
          <w:szCs w:val="22"/>
        </w:rPr>
        <w:t>6</w:t>
      </w:r>
      <w:r w:rsidRPr="00C341F5">
        <w:rPr>
          <w:rFonts w:ascii="Arial" w:hAnsi="Arial" w:cs="Arial"/>
          <w:sz w:val="22"/>
          <w:szCs w:val="22"/>
        </w:rPr>
        <w:t xml:space="preserve"> do niniejszej uchwały stanowi obligatoryjne rozstrzygnięcie w sprawie ich rozpatrzenia. </w:t>
      </w:r>
    </w:p>
    <w:p w14:paraId="34E75E72" w14:textId="343BD208" w:rsidR="000C4524" w:rsidRDefault="000C4524" w:rsidP="000C45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41F5">
        <w:rPr>
          <w:rFonts w:ascii="Arial" w:hAnsi="Arial" w:cs="Arial"/>
          <w:sz w:val="22"/>
          <w:szCs w:val="22"/>
        </w:rPr>
        <w:t>Ujednolicony tekst i rysunek studium, wymagane na podstawie</w:t>
      </w:r>
      <w:r w:rsidRPr="005A3E7A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 w:rsidR="005A3E7A" w:rsidRPr="005A3E7A">
        <w:rPr>
          <w:rFonts w:ascii="Arial" w:hAnsi="Arial" w:cs="Arial"/>
          <w:color w:val="000000" w:themeColor="text1"/>
          <w:sz w:val="22"/>
          <w:szCs w:val="22"/>
        </w:rPr>
        <w:t>8</w:t>
      </w:r>
      <w:r w:rsidRPr="005A3E7A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5A3E7A" w:rsidRPr="005A3E7A">
        <w:rPr>
          <w:rFonts w:ascii="Arial" w:hAnsi="Arial" w:cs="Arial"/>
          <w:color w:val="000000" w:themeColor="text1"/>
          <w:sz w:val="22"/>
          <w:szCs w:val="22"/>
        </w:rPr>
        <w:t>2</w:t>
      </w:r>
      <w:r w:rsidRPr="005A3E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2B7F">
        <w:rPr>
          <w:rFonts w:ascii="Arial" w:hAnsi="Arial" w:cs="Arial"/>
          <w:sz w:val="22"/>
          <w:szCs w:val="22"/>
        </w:rPr>
        <w:t xml:space="preserve">Rozporządzenia w sprawie zakresu projektu studium uwarunkowań i kierunków zagospodarowania przestrzennego gminy, </w:t>
      </w:r>
      <w:r w:rsidRPr="00C341F5">
        <w:rPr>
          <w:rFonts w:ascii="Arial" w:hAnsi="Arial" w:cs="Arial"/>
          <w:sz w:val="22"/>
          <w:szCs w:val="22"/>
        </w:rPr>
        <w:t>stanowią odpowiednio załącznik</w:t>
      </w:r>
      <w:r w:rsidR="00042B7F" w:rsidRPr="00C341F5">
        <w:rPr>
          <w:rFonts w:ascii="Arial" w:hAnsi="Arial" w:cs="Arial"/>
          <w:sz w:val="22"/>
          <w:szCs w:val="22"/>
        </w:rPr>
        <w:t xml:space="preserve">i </w:t>
      </w:r>
      <w:r w:rsidR="002806F4">
        <w:rPr>
          <w:rFonts w:ascii="Arial" w:hAnsi="Arial" w:cs="Arial"/>
          <w:sz w:val="22"/>
          <w:szCs w:val="22"/>
        </w:rPr>
        <w:t xml:space="preserve">od </w:t>
      </w:r>
      <w:r w:rsidRPr="00C341F5">
        <w:rPr>
          <w:rFonts w:ascii="Arial" w:hAnsi="Arial" w:cs="Arial"/>
          <w:sz w:val="22"/>
          <w:szCs w:val="22"/>
        </w:rPr>
        <w:t xml:space="preserve">nr </w:t>
      </w:r>
      <w:r w:rsidR="005A3E7A">
        <w:rPr>
          <w:rFonts w:ascii="Arial" w:hAnsi="Arial" w:cs="Arial"/>
          <w:sz w:val="22"/>
          <w:szCs w:val="22"/>
        </w:rPr>
        <w:t>7</w:t>
      </w:r>
      <w:r w:rsidR="002806F4">
        <w:rPr>
          <w:rFonts w:ascii="Arial" w:hAnsi="Arial" w:cs="Arial"/>
          <w:sz w:val="22"/>
          <w:szCs w:val="22"/>
        </w:rPr>
        <w:t xml:space="preserve"> do nr </w:t>
      </w:r>
      <w:r w:rsidR="005A3E7A">
        <w:rPr>
          <w:rFonts w:ascii="Arial" w:hAnsi="Arial" w:cs="Arial"/>
          <w:sz w:val="22"/>
          <w:szCs w:val="22"/>
        </w:rPr>
        <w:t>9</w:t>
      </w:r>
      <w:r w:rsidRPr="00C341F5">
        <w:rPr>
          <w:rFonts w:ascii="Arial" w:hAnsi="Arial" w:cs="Arial"/>
          <w:sz w:val="22"/>
          <w:szCs w:val="22"/>
        </w:rPr>
        <w:t xml:space="preserve"> niniejszej uchwały.</w:t>
      </w:r>
    </w:p>
    <w:p w14:paraId="29EE9830" w14:textId="19CF2B69" w:rsidR="007A7B14" w:rsidRDefault="007A7B14" w:rsidP="000C45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Odesłanie do zbioru danych przestrzennych do przedmiotowej zmiany </w:t>
      </w:r>
      <w:r w:rsidRPr="00C341F5">
        <w:rPr>
          <w:rFonts w:ascii="Arial" w:hAnsi="Arial" w:cs="Arial"/>
          <w:sz w:val="22"/>
          <w:szCs w:val="22"/>
        </w:rPr>
        <w:t>studium, wymagan</w:t>
      </w:r>
      <w:r>
        <w:rPr>
          <w:rFonts w:ascii="Arial" w:hAnsi="Arial" w:cs="Arial"/>
          <w:sz w:val="22"/>
          <w:szCs w:val="22"/>
        </w:rPr>
        <w:t>ego</w:t>
      </w:r>
      <w:r w:rsidRPr="00C341F5">
        <w:rPr>
          <w:rFonts w:ascii="Arial" w:hAnsi="Arial" w:cs="Arial"/>
          <w:sz w:val="22"/>
          <w:szCs w:val="22"/>
        </w:rPr>
        <w:t xml:space="preserve"> na </w:t>
      </w:r>
      <w:r w:rsidRPr="0055697B">
        <w:rPr>
          <w:rFonts w:ascii="Arial" w:hAnsi="Arial" w:cs="Arial"/>
          <w:sz w:val="22"/>
          <w:szCs w:val="22"/>
        </w:rPr>
        <w:t xml:space="preserve">podstawie art. </w:t>
      </w:r>
      <w:proofErr w:type="spellStart"/>
      <w:r w:rsidRPr="0055697B">
        <w:rPr>
          <w:rFonts w:ascii="Arial" w:hAnsi="Arial" w:cs="Arial"/>
          <w:sz w:val="22"/>
          <w:szCs w:val="22"/>
        </w:rPr>
        <w:t>67a</w:t>
      </w:r>
      <w:proofErr w:type="spellEnd"/>
      <w:r w:rsidRPr="0055697B">
        <w:rPr>
          <w:rFonts w:ascii="Arial" w:hAnsi="Arial" w:cs="Arial"/>
          <w:sz w:val="22"/>
          <w:szCs w:val="22"/>
        </w:rPr>
        <w:t xml:space="preserve"> ust. 3 i 5, ustawy z dnia 27 marca 2003 r. o planowaniu i zagospodarowaniu przestrzennym (tj. Dz. U. z </w:t>
      </w:r>
      <w:r>
        <w:rPr>
          <w:rFonts w:ascii="Arial" w:hAnsi="Arial" w:cs="Arial"/>
          <w:color w:val="000000"/>
          <w:sz w:val="22"/>
          <w:szCs w:val="22"/>
        </w:rPr>
        <w:t>2022 r. poz. 503</w:t>
      </w:r>
      <w:r w:rsidRPr="0055697B">
        <w:rPr>
          <w:rFonts w:ascii="Arial" w:hAnsi="Arial" w:cs="Arial"/>
          <w:sz w:val="22"/>
          <w:szCs w:val="22"/>
        </w:rPr>
        <w:t>)</w:t>
      </w:r>
      <w:r w:rsidRPr="00042B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znajduje się w </w:t>
      </w:r>
      <w:r w:rsidRPr="00C341F5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u</w:t>
      </w:r>
      <w:r w:rsidRPr="00C341F5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10</w:t>
      </w:r>
      <w:r w:rsidRPr="00C341F5">
        <w:rPr>
          <w:rFonts w:ascii="Arial" w:hAnsi="Arial" w:cs="Arial"/>
          <w:sz w:val="22"/>
          <w:szCs w:val="22"/>
        </w:rPr>
        <w:t xml:space="preserve"> do niniejszej uchwały.</w:t>
      </w:r>
    </w:p>
    <w:p w14:paraId="2B1EFD94" w14:textId="77777777" w:rsidR="00461904" w:rsidRDefault="006C13DB" w:rsidP="000C45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13DB">
        <w:rPr>
          <w:rFonts w:ascii="Arial" w:hAnsi="Arial" w:cs="Arial"/>
          <w:sz w:val="22"/>
          <w:szCs w:val="22"/>
        </w:rPr>
        <w:t xml:space="preserve">Ze względu na opracowanie punktowej zmiany studium wyłącznie dla terenów przeznaczonych pod obszary powierzchniowej eksploatacji kruszyw, teren rozwoju publicznej zabudowy usługowej lub socjalnej zabudowy mieszkaniowej oraz pod teren </w:t>
      </w:r>
      <w:proofErr w:type="spellStart"/>
      <w:r w:rsidRPr="006C13DB">
        <w:rPr>
          <w:rFonts w:ascii="Arial" w:hAnsi="Arial" w:cs="Arial"/>
          <w:sz w:val="22"/>
          <w:szCs w:val="22"/>
        </w:rPr>
        <w:t>subregionalnej</w:t>
      </w:r>
      <w:proofErr w:type="spellEnd"/>
      <w:r w:rsidRPr="006C13DB">
        <w:rPr>
          <w:rFonts w:ascii="Arial" w:hAnsi="Arial" w:cs="Arial"/>
          <w:sz w:val="22"/>
          <w:szCs w:val="22"/>
        </w:rPr>
        <w:t xml:space="preserve"> trasy rowerowej, odstąpiono od bilansowania terenów przeznaczonych pod </w:t>
      </w:r>
      <w:r w:rsidRPr="006C13DB">
        <w:rPr>
          <w:rFonts w:ascii="Arial" w:hAnsi="Arial" w:cs="Arial"/>
          <w:sz w:val="22"/>
          <w:szCs w:val="22"/>
        </w:rPr>
        <w:lastRenderedPageBreak/>
        <w:t>zabudowę, zgodnie z art. 10 ust. 5 i 7 ustawy o planowaniu i zagospodarowaniu przestrzennym. Przyjęto, iż takie bilansowanie jest bezzasadne ze względu na specyfikę planowanego przeznaczenia terenów w niniejszej zmianie studium.</w:t>
      </w:r>
      <w:r w:rsidR="00461904">
        <w:rPr>
          <w:rFonts w:ascii="Arial" w:hAnsi="Arial" w:cs="Arial"/>
          <w:sz w:val="22"/>
          <w:szCs w:val="22"/>
        </w:rPr>
        <w:t xml:space="preserve"> </w:t>
      </w:r>
    </w:p>
    <w:p w14:paraId="5EF2D927" w14:textId="77777777" w:rsidR="00461904" w:rsidRDefault="00461904" w:rsidP="000C45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1904">
        <w:rPr>
          <w:rFonts w:ascii="Arial" w:hAnsi="Arial" w:cs="Arial"/>
          <w:sz w:val="22"/>
          <w:szCs w:val="22"/>
        </w:rPr>
        <w:t xml:space="preserve">Ponieważ pamiętano o zakresie punktowej zmiany studium, zatem braku możliwości precyzowania ustaleń dla całej gminy, nie sformułowano ustaleń zgodnie z art. 10 ust 5 pkt 4. </w:t>
      </w:r>
      <w:bookmarkStart w:id="2" w:name="_Hlk98578276"/>
      <w:r w:rsidRPr="00461904">
        <w:rPr>
          <w:rFonts w:ascii="Arial" w:hAnsi="Arial" w:cs="Arial"/>
          <w:sz w:val="22"/>
          <w:szCs w:val="22"/>
        </w:rPr>
        <w:t xml:space="preserve">Zgodnie z wyrokiem NSA </w:t>
      </w:r>
      <w:hyperlink r:id="rId7" w:history="1">
        <w:r w:rsidRPr="00461904">
          <w:rPr>
            <w:rFonts w:ascii="Arial" w:hAnsi="Arial" w:cs="Arial"/>
            <w:sz w:val="22"/>
            <w:szCs w:val="22"/>
          </w:rPr>
          <w:t xml:space="preserve">II </w:t>
        </w:r>
        <w:proofErr w:type="spellStart"/>
        <w:r w:rsidRPr="00461904">
          <w:rPr>
            <w:rFonts w:ascii="Arial" w:hAnsi="Arial" w:cs="Arial"/>
            <w:sz w:val="22"/>
            <w:szCs w:val="22"/>
          </w:rPr>
          <w:t>OSK</w:t>
        </w:r>
        <w:proofErr w:type="spellEnd"/>
        <w:r w:rsidRPr="00461904">
          <w:rPr>
            <w:rFonts w:ascii="Arial" w:hAnsi="Arial" w:cs="Arial"/>
            <w:sz w:val="22"/>
            <w:szCs w:val="22"/>
          </w:rPr>
          <w:t xml:space="preserve"> 2908/16 z dn. </w:t>
        </w:r>
        <w:proofErr w:type="spellStart"/>
        <w:r w:rsidRPr="00461904">
          <w:rPr>
            <w:rFonts w:ascii="Arial" w:hAnsi="Arial" w:cs="Arial"/>
            <w:sz w:val="22"/>
            <w:szCs w:val="22"/>
          </w:rPr>
          <w:t>20.11.2017r</w:t>
        </w:r>
        <w:proofErr w:type="spellEnd"/>
        <w:r w:rsidRPr="00461904">
          <w:rPr>
            <w:rFonts w:ascii="Arial" w:hAnsi="Arial" w:cs="Arial"/>
            <w:sz w:val="22"/>
            <w:szCs w:val="22"/>
          </w:rPr>
          <w:t>.</w:t>
        </w:r>
      </w:hyperlink>
      <w:r w:rsidRPr="00461904">
        <w:rPr>
          <w:rFonts w:ascii="Arial" w:hAnsi="Arial" w:cs="Arial"/>
          <w:sz w:val="22"/>
          <w:szCs w:val="22"/>
        </w:rPr>
        <w:t xml:space="preserve"> przepis art. 10 ust 5 ustawy nie dotyczy przedmiotowej zmiany studium. </w:t>
      </w:r>
    </w:p>
    <w:p w14:paraId="25818476" w14:textId="77777777" w:rsidR="005A3E7A" w:rsidRDefault="00461904" w:rsidP="000C45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1904">
        <w:rPr>
          <w:rFonts w:ascii="Arial" w:hAnsi="Arial" w:cs="Arial"/>
          <w:sz w:val="22"/>
          <w:szCs w:val="22"/>
        </w:rPr>
        <w:t>Zgodnie z powyższym wyrokiem NSA nie ma w przedmiotowej sprawie zastosowania obowiązek sporządzenia bilansu, bowiem bilans wykonuje się przy zmianie całościowej studium w granicach administracyjnych gminy, a nie w przypadku punktowej zmiany studium na fragmencie gminy:</w:t>
      </w:r>
      <w:r w:rsidRPr="0069202D">
        <w:rPr>
          <w:bCs/>
          <w:color w:val="000000"/>
        </w:rPr>
        <w:t xml:space="preserve"> </w:t>
      </w:r>
      <w:r w:rsidRPr="0069202D">
        <w:rPr>
          <w:b/>
          <w:bCs/>
          <w:i/>
          <w:color w:val="000000"/>
        </w:rPr>
        <w:t xml:space="preserve">„Inaczej sytuacja będzie wyglądać w przypadkach, gdy studium, jako całość, będzie uchwalane już w czasie obowiązywania znowelizowanych przepisów. Wtedy do jego zmian konieczne będzie stosowanie wymogów, do których nawiązuje art. 9 ust. </w:t>
      </w:r>
      <w:proofErr w:type="spellStart"/>
      <w:r w:rsidRPr="0069202D">
        <w:rPr>
          <w:b/>
          <w:bCs/>
          <w:i/>
          <w:color w:val="000000"/>
        </w:rPr>
        <w:t>3a</w:t>
      </w:r>
      <w:proofErr w:type="spellEnd"/>
      <w:r w:rsidRPr="0069202D">
        <w:rPr>
          <w:b/>
          <w:bCs/>
          <w:i/>
          <w:color w:val="000000"/>
        </w:rPr>
        <w:t xml:space="preserve"> </w:t>
      </w:r>
      <w:proofErr w:type="spellStart"/>
      <w:r w:rsidRPr="0069202D">
        <w:rPr>
          <w:b/>
          <w:bCs/>
          <w:i/>
          <w:color w:val="000000"/>
        </w:rPr>
        <w:t>u.p.z.p</w:t>
      </w:r>
      <w:proofErr w:type="spellEnd"/>
      <w:r w:rsidRPr="0069202D">
        <w:rPr>
          <w:b/>
          <w:bCs/>
          <w:i/>
          <w:color w:val="000000"/>
        </w:rPr>
        <w:t>.”</w:t>
      </w:r>
      <w:r>
        <w:rPr>
          <w:b/>
          <w:bCs/>
          <w:i/>
          <w:color w:val="000000"/>
        </w:rPr>
        <w:t>.</w:t>
      </w:r>
      <w:bookmarkEnd w:id="2"/>
    </w:p>
    <w:p w14:paraId="74C36DCB" w14:textId="77777777" w:rsidR="00461904" w:rsidRPr="00461904" w:rsidRDefault="00461904" w:rsidP="000C45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57F72A" w14:textId="77777777" w:rsidR="00627079" w:rsidRPr="00C341F5" w:rsidRDefault="000C4524" w:rsidP="002806F4">
      <w:pPr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>W związku z powyższym podjęcie niniejszej uchwały uważa się za uzasadnione.</w:t>
      </w:r>
    </w:p>
    <w:sectPr w:rsidR="00627079" w:rsidRPr="00C341F5" w:rsidSect="002B2C3D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98A1" w14:textId="77777777" w:rsidR="008E441A" w:rsidRDefault="008E441A" w:rsidP="000C4524">
      <w:r>
        <w:separator/>
      </w:r>
    </w:p>
  </w:endnote>
  <w:endnote w:type="continuationSeparator" w:id="0">
    <w:p w14:paraId="118C245A" w14:textId="77777777" w:rsidR="008E441A" w:rsidRDefault="008E441A" w:rsidP="000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45DA" w14:textId="77777777" w:rsidR="001B1867" w:rsidRDefault="00E441CC" w:rsidP="00EB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4CA637" w14:textId="77777777" w:rsidR="001B1867" w:rsidRDefault="008E441A" w:rsidP="00AA4ED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754416"/>
      <w:docPartObj>
        <w:docPartGallery w:val="Page Numbers (Bottom of Page)"/>
        <w:docPartUnique/>
      </w:docPartObj>
    </w:sdtPr>
    <w:sdtEndPr/>
    <w:sdtContent>
      <w:p w14:paraId="7DDB5778" w14:textId="77777777" w:rsidR="00461904" w:rsidRDefault="004619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B79D50" w14:textId="77777777" w:rsidR="001B1867" w:rsidRDefault="008E441A" w:rsidP="00AA4ED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37F9" w14:textId="77777777" w:rsidR="008E441A" w:rsidRDefault="008E441A" w:rsidP="000C4524">
      <w:r>
        <w:separator/>
      </w:r>
    </w:p>
  </w:footnote>
  <w:footnote w:type="continuationSeparator" w:id="0">
    <w:p w14:paraId="7DEF504B" w14:textId="77777777" w:rsidR="008E441A" w:rsidRDefault="008E441A" w:rsidP="000C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741"/>
    <w:multiLevelType w:val="singleLevel"/>
    <w:tmpl w:val="DFBE11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65B348D9"/>
    <w:multiLevelType w:val="hybridMultilevel"/>
    <w:tmpl w:val="1442766A"/>
    <w:lvl w:ilvl="0" w:tplc="1BE6938E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Century Gothi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150F"/>
    <w:multiLevelType w:val="hybridMultilevel"/>
    <w:tmpl w:val="3B6ADECA"/>
    <w:lvl w:ilvl="0" w:tplc="7D1AE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7422637">
    <w:abstractNumId w:val="0"/>
  </w:num>
  <w:num w:numId="2" w16cid:durableId="1412697462">
    <w:abstractNumId w:val="1"/>
  </w:num>
  <w:num w:numId="3" w16cid:durableId="21635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524"/>
    <w:rsid w:val="00001422"/>
    <w:rsid w:val="00042B7F"/>
    <w:rsid w:val="00061C05"/>
    <w:rsid w:val="000C4524"/>
    <w:rsid w:val="000D24C2"/>
    <w:rsid w:val="001641F2"/>
    <w:rsid w:val="002462E5"/>
    <w:rsid w:val="002806F4"/>
    <w:rsid w:val="002A5565"/>
    <w:rsid w:val="002F69C3"/>
    <w:rsid w:val="003C6531"/>
    <w:rsid w:val="00407B4F"/>
    <w:rsid w:val="00440387"/>
    <w:rsid w:val="00461904"/>
    <w:rsid w:val="004801BA"/>
    <w:rsid w:val="00597F0C"/>
    <w:rsid w:val="005A3E7A"/>
    <w:rsid w:val="00627079"/>
    <w:rsid w:val="006B3991"/>
    <w:rsid w:val="006C13DB"/>
    <w:rsid w:val="00716A00"/>
    <w:rsid w:val="007A7B14"/>
    <w:rsid w:val="007B6ECC"/>
    <w:rsid w:val="00833547"/>
    <w:rsid w:val="008A79C0"/>
    <w:rsid w:val="008E441A"/>
    <w:rsid w:val="0090204E"/>
    <w:rsid w:val="00AD482E"/>
    <w:rsid w:val="00BA4F37"/>
    <w:rsid w:val="00C341F5"/>
    <w:rsid w:val="00C63F7C"/>
    <w:rsid w:val="00D86C8D"/>
    <w:rsid w:val="00E441CC"/>
    <w:rsid w:val="00E83242"/>
    <w:rsid w:val="00F36741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50C1"/>
  <w15:docId w15:val="{C06803EE-116C-4C9E-87E5-A011A6F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C4524"/>
    <w:rPr>
      <w:b/>
      <w:bCs/>
    </w:rPr>
  </w:style>
  <w:style w:type="paragraph" w:styleId="Tekstpodstawowy">
    <w:name w:val="Body Text"/>
    <w:basedOn w:val="Normalny"/>
    <w:link w:val="TekstpodstawowyZnak"/>
    <w:rsid w:val="000C4524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C4524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C4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4524"/>
  </w:style>
  <w:style w:type="paragraph" w:styleId="Nagwek">
    <w:name w:val="header"/>
    <w:basedOn w:val="Normalny"/>
    <w:link w:val="NagwekZnak"/>
    <w:uiPriority w:val="99"/>
    <w:unhideWhenUsed/>
    <w:rsid w:val="000C4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190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6190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1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zeczenia-nsa.pl/wyrok/ii-osk-2908-16/miejscowy_plan_zagospodarowania_przestrzennego_skargi_organow_nadzorczych_na_uchwaly_rady_gminy/1a67d2f.html?q=bilans+zabud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ZALUSKI</cp:lastModifiedBy>
  <cp:revision>7</cp:revision>
  <dcterms:created xsi:type="dcterms:W3CDTF">2017-07-22T09:26:00Z</dcterms:created>
  <dcterms:modified xsi:type="dcterms:W3CDTF">2022-05-20T10:43:00Z</dcterms:modified>
</cp:coreProperties>
</file>